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374" w:rsidRPr="00D30374" w:rsidRDefault="00D30374" w:rsidP="00D30374">
      <w:pPr>
        <w:spacing w:before="100" w:beforeAutospacing="1" w:after="100" w:afterAutospacing="1" w:line="240" w:lineRule="auto"/>
        <w:outlineLvl w:val="2"/>
        <w:rPr>
          <w:rFonts w:ascii="Times New Roman" w:eastAsia="Times New Roman" w:hAnsi="Times New Roman" w:cs="Times New Roman"/>
          <w:b/>
          <w:bCs/>
          <w:sz w:val="27"/>
          <w:szCs w:val="27"/>
        </w:rPr>
      </w:pPr>
      <w:r w:rsidRPr="00D30374">
        <w:rPr>
          <w:rFonts w:ascii="Times New Roman" w:eastAsia="Times New Roman" w:hAnsi="Times New Roman" w:cs="Times New Roman"/>
          <w:b/>
          <w:bCs/>
          <w:sz w:val="27"/>
          <w:szCs w:val="27"/>
        </w:rPr>
        <w:t xml:space="preserve">Expert Report Summary: Neuroanatomical, Structural-Functional, and Developmental Analysis of </w:t>
      </w:r>
      <w:r w:rsidR="009A0BAF">
        <w:rPr>
          <w:rFonts w:ascii="Times New Roman" w:eastAsia="Times New Roman" w:hAnsi="Times New Roman" w:cs="Times New Roman"/>
          <w:b/>
          <w:bCs/>
          <w:sz w:val="27"/>
          <w:szCs w:val="27"/>
        </w:rPr>
        <w:t xml:space="preserve">215 </w:t>
      </w:r>
      <w:bookmarkStart w:id="0" w:name="_GoBack"/>
      <w:bookmarkEnd w:id="0"/>
      <w:r w:rsidRPr="00D30374">
        <w:rPr>
          <w:rFonts w:ascii="Times New Roman" w:eastAsia="Times New Roman" w:hAnsi="Times New Roman" w:cs="Times New Roman"/>
          <w:b/>
          <w:bCs/>
          <w:sz w:val="27"/>
          <w:szCs w:val="27"/>
        </w:rPr>
        <w:t>Brain Regions</w:t>
      </w:r>
    </w:p>
    <w:p w:rsidR="00D30374" w:rsidRPr="00D30374" w:rsidRDefault="00D30374" w:rsidP="00D30374">
      <w:p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sz w:val="24"/>
          <w:szCs w:val="24"/>
        </w:rPr>
        <w:t xml:space="preserve">This report provides a comprehensive analysis of 215 brain regions, detailing their neuroanatomical features, functional roles, and developmental trajectories. The analysis is organized by the three primary embryonic brain vesicles: the </w:t>
      </w:r>
      <w:proofErr w:type="spellStart"/>
      <w:r w:rsidRPr="00D30374">
        <w:rPr>
          <w:rFonts w:ascii="Times New Roman" w:eastAsia="Times New Roman" w:hAnsi="Times New Roman" w:cs="Times New Roman"/>
          <w:sz w:val="24"/>
          <w:szCs w:val="24"/>
        </w:rPr>
        <w:t>Prosencephalon</w:t>
      </w:r>
      <w:proofErr w:type="spellEnd"/>
      <w:r w:rsidRPr="00D30374">
        <w:rPr>
          <w:rFonts w:ascii="Times New Roman" w:eastAsia="Times New Roman" w:hAnsi="Times New Roman" w:cs="Times New Roman"/>
          <w:sz w:val="24"/>
          <w:szCs w:val="24"/>
        </w:rPr>
        <w:t xml:space="preserve"> (Forebrain), Mesencephalon (Midbrain), and </w:t>
      </w:r>
      <w:proofErr w:type="spellStart"/>
      <w:r w:rsidRPr="00D30374">
        <w:rPr>
          <w:rFonts w:ascii="Times New Roman" w:eastAsia="Times New Roman" w:hAnsi="Times New Roman" w:cs="Times New Roman"/>
          <w:sz w:val="24"/>
          <w:szCs w:val="24"/>
        </w:rPr>
        <w:t>Rhombencephalon</w:t>
      </w:r>
      <w:proofErr w:type="spellEnd"/>
      <w:r w:rsidRPr="00D30374">
        <w:rPr>
          <w:rFonts w:ascii="Times New Roman" w:eastAsia="Times New Roman" w:hAnsi="Times New Roman" w:cs="Times New Roman"/>
          <w:sz w:val="24"/>
          <w:szCs w:val="24"/>
        </w:rPr>
        <w:t xml:space="preserve"> (Hindbrain).</w:t>
      </w:r>
    </w:p>
    <w:p w:rsidR="00D30374" w:rsidRPr="00D30374" w:rsidRDefault="00D30374" w:rsidP="00D30374">
      <w:p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b/>
          <w:bCs/>
          <w:sz w:val="24"/>
          <w:szCs w:val="24"/>
        </w:rPr>
        <w:t xml:space="preserve">I. </w:t>
      </w:r>
      <w:proofErr w:type="spellStart"/>
      <w:r w:rsidRPr="00D30374">
        <w:rPr>
          <w:rFonts w:ascii="Times New Roman" w:eastAsia="Times New Roman" w:hAnsi="Times New Roman" w:cs="Times New Roman"/>
          <w:b/>
          <w:bCs/>
          <w:sz w:val="24"/>
          <w:szCs w:val="24"/>
        </w:rPr>
        <w:t>Prosencephalon</w:t>
      </w:r>
      <w:proofErr w:type="spellEnd"/>
      <w:r w:rsidRPr="00D30374">
        <w:rPr>
          <w:rFonts w:ascii="Times New Roman" w:eastAsia="Times New Roman" w:hAnsi="Times New Roman" w:cs="Times New Roman"/>
          <w:b/>
          <w:bCs/>
          <w:sz w:val="24"/>
          <w:szCs w:val="24"/>
        </w:rPr>
        <w:t xml:space="preserve"> (Forebrain)</w:t>
      </w:r>
      <w:r w:rsidRPr="00D30374">
        <w:rPr>
          <w:rFonts w:ascii="Times New Roman" w:eastAsia="Times New Roman" w:hAnsi="Times New Roman" w:cs="Times New Roman"/>
          <w:sz w:val="24"/>
          <w:szCs w:val="24"/>
        </w:rPr>
        <w:t xml:space="preserve"> The forebrain, derived from the </w:t>
      </w:r>
      <w:proofErr w:type="spellStart"/>
      <w:r w:rsidRPr="00D30374">
        <w:rPr>
          <w:rFonts w:ascii="Times New Roman" w:eastAsia="Times New Roman" w:hAnsi="Times New Roman" w:cs="Times New Roman"/>
          <w:sz w:val="24"/>
          <w:szCs w:val="24"/>
        </w:rPr>
        <w:t>prosencephalon</w:t>
      </w:r>
      <w:proofErr w:type="spellEnd"/>
      <w:r w:rsidRPr="00D30374">
        <w:rPr>
          <w:rFonts w:ascii="Times New Roman" w:eastAsia="Times New Roman" w:hAnsi="Times New Roman" w:cs="Times New Roman"/>
          <w:sz w:val="24"/>
          <w:szCs w:val="24"/>
        </w:rPr>
        <w:t xml:space="preserve">, is the largest and most complex division. It includes the </w:t>
      </w:r>
      <w:r w:rsidRPr="00D30374">
        <w:rPr>
          <w:rFonts w:ascii="Times New Roman" w:eastAsia="Times New Roman" w:hAnsi="Times New Roman" w:cs="Times New Roman"/>
          <w:b/>
          <w:bCs/>
          <w:sz w:val="24"/>
          <w:szCs w:val="24"/>
        </w:rPr>
        <w:t>Cerebral Cortex</w:t>
      </w:r>
      <w:r w:rsidRPr="00D30374">
        <w:rPr>
          <w:rFonts w:ascii="Times New Roman" w:eastAsia="Times New Roman" w:hAnsi="Times New Roman" w:cs="Times New Roman"/>
          <w:sz w:val="24"/>
          <w:szCs w:val="24"/>
        </w:rPr>
        <w:t xml:space="preserve">, which forms from the dorsal pallium and is responsible for higher-order cognition, memory, and perception. Its development is characterized by an "inside-out" pattern of </w:t>
      </w:r>
      <w:r w:rsidRPr="00D30374">
        <w:rPr>
          <w:rFonts w:ascii="Times New Roman" w:eastAsia="Times New Roman" w:hAnsi="Times New Roman" w:cs="Times New Roman"/>
          <w:b/>
          <w:bCs/>
          <w:sz w:val="24"/>
          <w:szCs w:val="24"/>
        </w:rPr>
        <w:t>radial migration</w:t>
      </w:r>
      <w:r w:rsidRPr="00D30374">
        <w:rPr>
          <w:rFonts w:ascii="Times New Roman" w:eastAsia="Times New Roman" w:hAnsi="Times New Roman" w:cs="Times New Roman"/>
          <w:sz w:val="24"/>
          <w:szCs w:val="24"/>
        </w:rPr>
        <w:t xml:space="preserve">, forming its distinctive six-layered structure. The </w:t>
      </w:r>
      <w:r w:rsidRPr="00D30374">
        <w:rPr>
          <w:rFonts w:ascii="Times New Roman" w:eastAsia="Times New Roman" w:hAnsi="Times New Roman" w:cs="Times New Roman"/>
          <w:b/>
          <w:bCs/>
          <w:sz w:val="24"/>
          <w:szCs w:val="24"/>
        </w:rPr>
        <w:t>Olfactory System</w:t>
      </w:r>
      <w:r w:rsidRPr="00D30374">
        <w:rPr>
          <w:rFonts w:ascii="Times New Roman" w:eastAsia="Times New Roman" w:hAnsi="Times New Roman" w:cs="Times New Roman"/>
          <w:sz w:val="24"/>
          <w:szCs w:val="24"/>
        </w:rPr>
        <w:t xml:space="preserve">, including the Main and Accessory Olfactory Bulbs, processes scent and </w:t>
      </w:r>
      <w:proofErr w:type="spellStart"/>
      <w:r w:rsidRPr="00D30374">
        <w:rPr>
          <w:rFonts w:ascii="Times New Roman" w:eastAsia="Times New Roman" w:hAnsi="Times New Roman" w:cs="Times New Roman"/>
          <w:sz w:val="24"/>
          <w:szCs w:val="24"/>
        </w:rPr>
        <w:t>pheromonal</w:t>
      </w:r>
      <w:proofErr w:type="spellEnd"/>
      <w:r w:rsidRPr="00D30374">
        <w:rPr>
          <w:rFonts w:ascii="Times New Roman" w:eastAsia="Times New Roman" w:hAnsi="Times New Roman" w:cs="Times New Roman"/>
          <w:sz w:val="24"/>
          <w:szCs w:val="24"/>
        </w:rPr>
        <w:t xml:space="preserve"> information. This system exhibits a </w:t>
      </w:r>
      <w:r w:rsidRPr="00D30374">
        <w:rPr>
          <w:rFonts w:ascii="Times New Roman" w:eastAsia="Times New Roman" w:hAnsi="Times New Roman" w:cs="Times New Roman"/>
          <w:b/>
          <w:bCs/>
          <w:sz w:val="24"/>
          <w:szCs w:val="24"/>
        </w:rPr>
        <w:t>divergent developmental trajectory</w:t>
      </w:r>
      <w:r w:rsidRPr="00D30374">
        <w:rPr>
          <w:rFonts w:ascii="Times New Roman" w:eastAsia="Times New Roman" w:hAnsi="Times New Roman" w:cs="Times New Roman"/>
          <w:sz w:val="24"/>
          <w:szCs w:val="24"/>
        </w:rPr>
        <w:t xml:space="preserve"> where interneurons undergo a unique form of </w:t>
      </w:r>
      <w:r w:rsidRPr="00D30374">
        <w:rPr>
          <w:rFonts w:ascii="Times New Roman" w:eastAsia="Times New Roman" w:hAnsi="Times New Roman" w:cs="Times New Roman"/>
          <w:b/>
          <w:bCs/>
          <w:sz w:val="24"/>
          <w:szCs w:val="24"/>
        </w:rPr>
        <w:t>tangential migration</w:t>
      </w:r>
      <w:r w:rsidRPr="00D30374">
        <w:rPr>
          <w:rFonts w:ascii="Times New Roman" w:eastAsia="Times New Roman" w:hAnsi="Times New Roman" w:cs="Times New Roman"/>
          <w:sz w:val="24"/>
          <w:szCs w:val="24"/>
        </w:rPr>
        <w:t xml:space="preserve"> from the </w:t>
      </w:r>
      <w:proofErr w:type="spellStart"/>
      <w:r w:rsidRPr="00D30374">
        <w:rPr>
          <w:rFonts w:ascii="Times New Roman" w:eastAsia="Times New Roman" w:hAnsi="Times New Roman" w:cs="Times New Roman"/>
          <w:sz w:val="24"/>
          <w:szCs w:val="24"/>
        </w:rPr>
        <w:t>subventricular</w:t>
      </w:r>
      <w:proofErr w:type="spellEnd"/>
      <w:r w:rsidRPr="00D30374">
        <w:rPr>
          <w:rFonts w:ascii="Times New Roman" w:eastAsia="Times New Roman" w:hAnsi="Times New Roman" w:cs="Times New Roman"/>
          <w:sz w:val="24"/>
          <w:szCs w:val="24"/>
        </w:rPr>
        <w:t xml:space="preserve"> zone, a process that continues into adulthood. The </w:t>
      </w:r>
      <w:r w:rsidRPr="00D30374">
        <w:rPr>
          <w:rFonts w:ascii="Times New Roman" w:eastAsia="Times New Roman" w:hAnsi="Times New Roman" w:cs="Times New Roman"/>
          <w:b/>
          <w:bCs/>
          <w:sz w:val="24"/>
          <w:szCs w:val="24"/>
        </w:rPr>
        <w:t>Septal and Basal Forebrain regions</w:t>
      </w:r>
      <w:r w:rsidRPr="00D30374">
        <w:rPr>
          <w:rFonts w:ascii="Times New Roman" w:eastAsia="Times New Roman" w:hAnsi="Times New Roman" w:cs="Times New Roman"/>
          <w:sz w:val="24"/>
          <w:szCs w:val="24"/>
        </w:rPr>
        <w:t xml:space="preserve"> (e.g., Lateral Septal Complex, Bed Nuclei of the </w:t>
      </w:r>
      <w:proofErr w:type="spellStart"/>
      <w:r w:rsidRPr="00D30374">
        <w:rPr>
          <w:rFonts w:ascii="Times New Roman" w:eastAsia="Times New Roman" w:hAnsi="Times New Roman" w:cs="Times New Roman"/>
          <w:sz w:val="24"/>
          <w:szCs w:val="24"/>
        </w:rPr>
        <w:t>Stria</w:t>
      </w:r>
      <w:proofErr w:type="spellEnd"/>
      <w:r w:rsidRPr="00D30374">
        <w:rPr>
          <w:rFonts w:ascii="Times New Roman" w:eastAsia="Times New Roman" w:hAnsi="Times New Roman" w:cs="Times New Roman"/>
          <w:sz w:val="24"/>
          <w:szCs w:val="24"/>
        </w:rPr>
        <w:t xml:space="preserve"> Terminalis) act as limbic hubs, mediating emotion, reward, and arousal. The </w:t>
      </w:r>
      <w:r w:rsidRPr="00D30374">
        <w:rPr>
          <w:rFonts w:ascii="Times New Roman" w:eastAsia="Times New Roman" w:hAnsi="Times New Roman" w:cs="Times New Roman"/>
          <w:b/>
          <w:bCs/>
          <w:sz w:val="24"/>
          <w:szCs w:val="24"/>
        </w:rPr>
        <w:t>Hypothalamus</w:t>
      </w:r>
      <w:r w:rsidRPr="00D30374">
        <w:rPr>
          <w:rFonts w:ascii="Times New Roman" w:eastAsia="Times New Roman" w:hAnsi="Times New Roman" w:cs="Times New Roman"/>
          <w:sz w:val="24"/>
          <w:szCs w:val="24"/>
        </w:rPr>
        <w:t>, a diencephalic structure, is the central control hub for homeostatic functions, including temperature, hunger, and endocrine regulation.</w:t>
      </w:r>
    </w:p>
    <w:p w:rsidR="00D30374" w:rsidRPr="00D30374" w:rsidRDefault="00D30374" w:rsidP="00D30374">
      <w:p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b/>
          <w:bCs/>
          <w:sz w:val="24"/>
          <w:szCs w:val="24"/>
        </w:rPr>
        <w:t>II. Mesencephalon (Midbrain)</w:t>
      </w:r>
      <w:r w:rsidRPr="00D30374">
        <w:rPr>
          <w:rFonts w:ascii="Times New Roman" w:eastAsia="Times New Roman" w:hAnsi="Times New Roman" w:cs="Times New Roman"/>
          <w:sz w:val="24"/>
          <w:szCs w:val="24"/>
        </w:rPr>
        <w:t xml:space="preserve"> The midbrain develops from the mesencephalon. Key structures include the </w:t>
      </w:r>
      <w:r w:rsidRPr="00D30374">
        <w:rPr>
          <w:rFonts w:ascii="Times New Roman" w:eastAsia="Times New Roman" w:hAnsi="Times New Roman" w:cs="Times New Roman"/>
          <w:b/>
          <w:bCs/>
          <w:sz w:val="24"/>
          <w:szCs w:val="24"/>
        </w:rPr>
        <w:t>Inferior Colliculus</w:t>
      </w:r>
      <w:r w:rsidRPr="00D30374">
        <w:rPr>
          <w:rFonts w:ascii="Times New Roman" w:eastAsia="Times New Roman" w:hAnsi="Times New Roman" w:cs="Times New Roman"/>
          <w:sz w:val="24"/>
          <w:szCs w:val="24"/>
        </w:rPr>
        <w:t xml:space="preserve">, a critical relay for auditory processing, and the </w:t>
      </w:r>
      <w:r w:rsidRPr="00D30374">
        <w:rPr>
          <w:rFonts w:ascii="Times New Roman" w:eastAsia="Times New Roman" w:hAnsi="Times New Roman" w:cs="Times New Roman"/>
          <w:b/>
          <w:bCs/>
          <w:sz w:val="24"/>
          <w:szCs w:val="24"/>
        </w:rPr>
        <w:t>Periaqueductal Gray (PAG)</w:t>
      </w:r>
      <w:r w:rsidRPr="00D30374">
        <w:rPr>
          <w:rFonts w:ascii="Times New Roman" w:eastAsia="Times New Roman" w:hAnsi="Times New Roman" w:cs="Times New Roman"/>
          <w:sz w:val="24"/>
          <w:szCs w:val="24"/>
        </w:rPr>
        <w:t>, a central column of gray matter crucial for pain modulation and defensive behaviors. The development of the midbrain is guided by the isthmic organizer, which patterns it and the adjacent hindbrain.</w:t>
      </w:r>
    </w:p>
    <w:p w:rsidR="00D30374" w:rsidRPr="00D30374" w:rsidRDefault="00D30374" w:rsidP="00D30374">
      <w:p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b/>
          <w:bCs/>
          <w:sz w:val="24"/>
          <w:szCs w:val="24"/>
        </w:rPr>
        <w:t xml:space="preserve">III. </w:t>
      </w:r>
      <w:proofErr w:type="spellStart"/>
      <w:r w:rsidRPr="00D30374">
        <w:rPr>
          <w:rFonts w:ascii="Times New Roman" w:eastAsia="Times New Roman" w:hAnsi="Times New Roman" w:cs="Times New Roman"/>
          <w:b/>
          <w:bCs/>
          <w:sz w:val="24"/>
          <w:szCs w:val="24"/>
        </w:rPr>
        <w:t>Rhombencephalon</w:t>
      </w:r>
      <w:proofErr w:type="spellEnd"/>
      <w:r w:rsidRPr="00D30374">
        <w:rPr>
          <w:rFonts w:ascii="Times New Roman" w:eastAsia="Times New Roman" w:hAnsi="Times New Roman" w:cs="Times New Roman"/>
          <w:b/>
          <w:bCs/>
          <w:sz w:val="24"/>
          <w:szCs w:val="24"/>
        </w:rPr>
        <w:t xml:space="preserve"> (Hindbrain)</w:t>
      </w:r>
      <w:r w:rsidRPr="00D30374">
        <w:rPr>
          <w:rFonts w:ascii="Times New Roman" w:eastAsia="Times New Roman" w:hAnsi="Times New Roman" w:cs="Times New Roman"/>
          <w:sz w:val="24"/>
          <w:szCs w:val="24"/>
        </w:rPr>
        <w:t xml:space="preserve"> </w:t>
      </w:r>
      <w:proofErr w:type="gramStart"/>
      <w:r w:rsidRPr="00D30374">
        <w:rPr>
          <w:rFonts w:ascii="Times New Roman" w:eastAsia="Times New Roman" w:hAnsi="Times New Roman" w:cs="Times New Roman"/>
          <w:sz w:val="24"/>
          <w:szCs w:val="24"/>
        </w:rPr>
        <w:t>The</w:t>
      </w:r>
      <w:proofErr w:type="gramEnd"/>
      <w:r w:rsidRPr="00D30374">
        <w:rPr>
          <w:rFonts w:ascii="Times New Roman" w:eastAsia="Times New Roman" w:hAnsi="Times New Roman" w:cs="Times New Roman"/>
          <w:sz w:val="24"/>
          <w:szCs w:val="24"/>
        </w:rPr>
        <w:t xml:space="preserve"> hindbrain, originating from the </w:t>
      </w:r>
      <w:proofErr w:type="spellStart"/>
      <w:r w:rsidRPr="00D30374">
        <w:rPr>
          <w:rFonts w:ascii="Times New Roman" w:eastAsia="Times New Roman" w:hAnsi="Times New Roman" w:cs="Times New Roman"/>
          <w:sz w:val="24"/>
          <w:szCs w:val="24"/>
        </w:rPr>
        <w:t>rhombencephalon</w:t>
      </w:r>
      <w:proofErr w:type="spellEnd"/>
      <w:r w:rsidRPr="00D30374">
        <w:rPr>
          <w:rFonts w:ascii="Times New Roman" w:eastAsia="Times New Roman" w:hAnsi="Times New Roman" w:cs="Times New Roman"/>
          <w:sz w:val="24"/>
          <w:szCs w:val="24"/>
        </w:rPr>
        <w:t xml:space="preserve">, gives rise to the </w:t>
      </w:r>
      <w:r w:rsidRPr="00D30374">
        <w:rPr>
          <w:rFonts w:ascii="Times New Roman" w:eastAsia="Times New Roman" w:hAnsi="Times New Roman" w:cs="Times New Roman"/>
          <w:b/>
          <w:bCs/>
          <w:sz w:val="24"/>
          <w:szCs w:val="24"/>
        </w:rPr>
        <w:t>Cerebellum</w:t>
      </w:r>
      <w:r w:rsidRPr="00D30374">
        <w:rPr>
          <w:rFonts w:ascii="Times New Roman" w:eastAsia="Times New Roman" w:hAnsi="Times New Roman" w:cs="Times New Roman"/>
          <w:sz w:val="24"/>
          <w:szCs w:val="24"/>
        </w:rPr>
        <w:t xml:space="preserve"> and the </w:t>
      </w:r>
      <w:r w:rsidRPr="00D30374">
        <w:rPr>
          <w:rFonts w:ascii="Times New Roman" w:eastAsia="Times New Roman" w:hAnsi="Times New Roman" w:cs="Times New Roman"/>
          <w:b/>
          <w:bCs/>
          <w:sz w:val="24"/>
          <w:szCs w:val="24"/>
        </w:rPr>
        <w:t>Brain Stem</w:t>
      </w:r>
      <w:r w:rsidRPr="00D30374">
        <w:rPr>
          <w:rFonts w:ascii="Times New Roman" w:eastAsia="Times New Roman" w:hAnsi="Times New Roman" w:cs="Times New Roman"/>
          <w:sz w:val="24"/>
          <w:szCs w:val="24"/>
        </w:rPr>
        <w:t xml:space="preserve">. The cerebellum is a key structure for motor coordination, balance, and motor learning. Its cellular architecture is defined by a three-layered cortex. The development of the cerebellum is a prime example of </w:t>
      </w:r>
      <w:r w:rsidRPr="00D30374">
        <w:rPr>
          <w:rFonts w:ascii="Times New Roman" w:eastAsia="Times New Roman" w:hAnsi="Times New Roman" w:cs="Times New Roman"/>
          <w:b/>
          <w:bCs/>
          <w:sz w:val="24"/>
          <w:szCs w:val="24"/>
        </w:rPr>
        <w:t>developmental divergence</w:t>
      </w:r>
      <w:r w:rsidRPr="00D30374">
        <w:rPr>
          <w:rFonts w:ascii="Times New Roman" w:eastAsia="Times New Roman" w:hAnsi="Times New Roman" w:cs="Times New Roman"/>
          <w:sz w:val="24"/>
          <w:szCs w:val="24"/>
        </w:rPr>
        <w:t xml:space="preserve">: while its Purkinje cells undergo </w:t>
      </w:r>
      <w:r w:rsidRPr="00D30374">
        <w:rPr>
          <w:rFonts w:ascii="Times New Roman" w:eastAsia="Times New Roman" w:hAnsi="Times New Roman" w:cs="Times New Roman"/>
          <w:b/>
          <w:bCs/>
          <w:sz w:val="24"/>
          <w:szCs w:val="24"/>
        </w:rPr>
        <w:t>radial migration</w:t>
      </w:r>
      <w:r w:rsidRPr="00D30374">
        <w:rPr>
          <w:rFonts w:ascii="Times New Roman" w:eastAsia="Times New Roman" w:hAnsi="Times New Roman" w:cs="Times New Roman"/>
          <w:sz w:val="24"/>
          <w:szCs w:val="24"/>
        </w:rPr>
        <w:t xml:space="preserve">, its numerous granule cells originate from the rhombic lip and migrate tangentially, a unique and highly specialized process. The </w:t>
      </w:r>
      <w:r w:rsidRPr="00D30374">
        <w:rPr>
          <w:rFonts w:ascii="Times New Roman" w:eastAsia="Times New Roman" w:hAnsi="Times New Roman" w:cs="Times New Roman"/>
          <w:b/>
          <w:bCs/>
          <w:sz w:val="24"/>
          <w:szCs w:val="24"/>
        </w:rPr>
        <w:t>Brain Stem</w:t>
      </w:r>
      <w:r w:rsidRPr="00D30374">
        <w:rPr>
          <w:rFonts w:ascii="Times New Roman" w:eastAsia="Times New Roman" w:hAnsi="Times New Roman" w:cs="Times New Roman"/>
          <w:sz w:val="24"/>
          <w:szCs w:val="24"/>
        </w:rPr>
        <w:t xml:space="preserve"> (e.g., Parabrachial Nucleus, Dorsal Tegmental Nucleus) contains vital relays for sensory information and autonomic functions.</w:t>
      </w:r>
    </w:p>
    <w:p w:rsidR="00D30374" w:rsidRPr="00D30374" w:rsidRDefault="00D30374" w:rsidP="00D30374">
      <w:p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b/>
          <w:bCs/>
          <w:sz w:val="24"/>
          <w:szCs w:val="24"/>
        </w:rPr>
        <w:t>Common and Divergent Developmental Trajectories</w:t>
      </w:r>
    </w:p>
    <w:p w:rsidR="00D30374" w:rsidRPr="00D30374" w:rsidRDefault="00D30374" w:rsidP="00D30374">
      <w:p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sz w:val="24"/>
          <w:szCs w:val="24"/>
        </w:rPr>
        <w:t xml:space="preserve">At the highest level, all brain regions share a common origin from the embryonic </w:t>
      </w:r>
      <w:r w:rsidRPr="00D30374">
        <w:rPr>
          <w:rFonts w:ascii="Times New Roman" w:eastAsia="Times New Roman" w:hAnsi="Times New Roman" w:cs="Times New Roman"/>
          <w:b/>
          <w:bCs/>
          <w:sz w:val="24"/>
          <w:szCs w:val="24"/>
        </w:rPr>
        <w:t>neural plate</w:t>
      </w:r>
      <w:r w:rsidRPr="00D30374">
        <w:rPr>
          <w:rFonts w:ascii="Times New Roman" w:eastAsia="Times New Roman" w:hAnsi="Times New Roman" w:cs="Times New Roman"/>
          <w:sz w:val="24"/>
          <w:szCs w:val="24"/>
        </w:rPr>
        <w:t xml:space="preserve"> and its subsequent folding into the neural tube. However, significant divergence occurs in later stages:</w:t>
      </w:r>
    </w:p>
    <w:p w:rsidR="00D30374" w:rsidRPr="00D30374" w:rsidRDefault="00D30374" w:rsidP="00D3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b/>
          <w:bCs/>
          <w:sz w:val="24"/>
          <w:szCs w:val="24"/>
        </w:rPr>
        <w:t>Migration Patterns:</w:t>
      </w:r>
      <w:r w:rsidRPr="00D30374">
        <w:rPr>
          <w:rFonts w:ascii="Times New Roman" w:eastAsia="Times New Roman" w:hAnsi="Times New Roman" w:cs="Times New Roman"/>
          <w:sz w:val="24"/>
          <w:szCs w:val="24"/>
        </w:rPr>
        <w:t xml:space="preserve"> The most notable divergence is in the mode of neuronal migration. While most regions are built by </w:t>
      </w:r>
      <w:r w:rsidRPr="00D30374">
        <w:rPr>
          <w:rFonts w:ascii="Times New Roman" w:eastAsia="Times New Roman" w:hAnsi="Times New Roman" w:cs="Times New Roman"/>
          <w:b/>
          <w:bCs/>
          <w:sz w:val="24"/>
          <w:szCs w:val="24"/>
        </w:rPr>
        <w:t>radial migration</w:t>
      </w:r>
      <w:r w:rsidRPr="00D30374">
        <w:rPr>
          <w:rFonts w:ascii="Times New Roman" w:eastAsia="Times New Roman" w:hAnsi="Times New Roman" w:cs="Times New Roman"/>
          <w:sz w:val="24"/>
          <w:szCs w:val="24"/>
        </w:rPr>
        <w:t xml:space="preserve"> along glial fibers, a select few—like the cerebellar granule cells and olfactory bulb interneurons—utilize </w:t>
      </w:r>
      <w:r w:rsidRPr="00D30374">
        <w:rPr>
          <w:rFonts w:ascii="Times New Roman" w:eastAsia="Times New Roman" w:hAnsi="Times New Roman" w:cs="Times New Roman"/>
          <w:b/>
          <w:bCs/>
          <w:sz w:val="24"/>
          <w:szCs w:val="24"/>
        </w:rPr>
        <w:t>tangential migration</w:t>
      </w:r>
      <w:r w:rsidRPr="00D30374">
        <w:rPr>
          <w:rFonts w:ascii="Times New Roman" w:eastAsia="Times New Roman" w:hAnsi="Times New Roman" w:cs="Times New Roman"/>
          <w:sz w:val="24"/>
          <w:szCs w:val="24"/>
        </w:rPr>
        <w:t xml:space="preserve"> from distinct progenitor zones.</w:t>
      </w:r>
    </w:p>
    <w:p w:rsidR="00D30374" w:rsidRPr="00D30374" w:rsidRDefault="00D30374" w:rsidP="00D3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b/>
          <w:bCs/>
          <w:sz w:val="24"/>
          <w:szCs w:val="24"/>
        </w:rPr>
        <w:t>Structural Lamination:</w:t>
      </w:r>
      <w:r w:rsidRPr="00D30374">
        <w:rPr>
          <w:rFonts w:ascii="Times New Roman" w:eastAsia="Times New Roman" w:hAnsi="Times New Roman" w:cs="Times New Roman"/>
          <w:sz w:val="24"/>
          <w:szCs w:val="24"/>
        </w:rPr>
        <w:t xml:space="preserve"> Different developmental programs lead to distinct layered architectures. The six-layered cerebral cortex, the three-layered cerebellar cortex, and the concentric layers of the olfactory bulb are all results of divergent developmental processes.</w:t>
      </w:r>
    </w:p>
    <w:p w:rsidR="00D30374" w:rsidRPr="00D30374" w:rsidRDefault="00D30374" w:rsidP="00D3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30374">
        <w:rPr>
          <w:rFonts w:ascii="Times New Roman" w:eastAsia="Times New Roman" w:hAnsi="Times New Roman" w:cs="Times New Roman"/>
          <w:b/>
          <w:bCs/>
          <w:sz w:val="24"/>
          <w:szCs w:val="24"/>
        </w:rPr>
        <w:t>Functional Specialization:</w:t>
      </w:r>
      <w:r w:rsidRPr="00D30374">
        <w:rPr>
          <w:rFonts w:ascii="Times New Roman" w:eastAsia="Times New Roman" w:hAnsi="Times New Roman" w:cs="Times New Roman"/>
          <w:sz w:val="24"/>
          <w:szCs w:val="24"/>
        </w:rPr>
        <w:t xml:space="preserve"> These developmental and structural differences ultimately lead to highly specialized functions. The cerebellar system is optimized for precise motor control, while the cerebral cortex is configured for complex cognition and the hypothalamus for homeostatic regulation.</w:t>
      </w:r>
    </w:p>
    <w:p w:rsidR="00606F00" w:rsidRDefault="00606F00"/>
    <w:sectPr w:rsidR="00606F00" w:rsidSect="00D3037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F2F77"/>
    <w:multiLevelType w:val="multilevel"/>
    <w:tmpl w:val="3E22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374"/>
    <w:rsid w:val="00606F00"/>
    <w:rsid w:val="009A0BAF"/>
    <w:rsid w:val="00D30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3C8061-2E09-4EC6-8477-C04ECFB4E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D3037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3037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303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815943">
      <w:bodyDiv w:val="1"/>
      <w:marLeft w:val="0"/>
      <w:marRight w:val="0"/>
      <w:marTop w:val="0"/>
      <w:marBottom w:val="0"/>
      <w:divBdr>
        <w:top w:val="none" w:sz="0" w:space="0" w:color="auto"/>
        <w:left w:val="none" w:sz="0" w:space="0" w:color="auto"/>
        <w:bottom w:val="none" w:sz="0" w:space="0" w:color="auto"/>
        <w:right w:val="none" w:sz="0" w:space="0" w:color="auto"/>
      </w:divBdr>
      <w:divsChild>
        <w:div w:id="433289039">
          <w:marLeft w:val="0"/>
          <w:marRight w:val="0"/>
          <w:marTop w:val="0"/>
          <w:marBottom w:val="0"/>
          <w:divBdr>
            <w:top w:val="none" w:sz="0" w:space="0" w:color="auto"/>
            <w:left w:val="none" w:sz="0" w:space="0" w:color="auto"/>
            <w:bottom w:val="none" w:sz="0" w:space="0" w:color="auto"/>
            <w:right w:val="none" w:sz="0" w:space="0" w:color="auto"/>
          </w:divBdr>
          <w:divsChild>
            <w:div w:id="20922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544</Words>
  <Characters>3101</Characters>
  <Application>Microsoft Office Word</Application>
  <DocSecurity>0</DocSecurity>
  <Lines>25</Lines>
  <Paragraphs>7</Paragraphs>
  <ScaleCrop>false</ScaleCrop>
  <Company/>
  <LinksUpToDate>false</LinksUpToDate>
  <CharactersWithSpaces>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2</cp:revision>
  <dcterms:created xsi:type="dcterms:W3CDTF">2025-09-14T07:14:00Z</dcterms:created>
  <dcterms:modified xsi:type="dcterms:W3CDTF">2025-12-22T06:59:00Z</dcterms:modified>
</cp:coreProperties>
</file>